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68D79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Minutes from 201730 meeting.</w:t>
      </w:r>
    </w:p>
    <w:p w14:paraId="1567959B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5735AACA" w14:textId="5A0021BC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Attending scoring: Julie Abbarno, Denise Bourne, Yolanda Gonzalez, Erich Heintzelman, Rob McCaffrey, Mary Beth Thorton, (Melissa Schreiber scoring via email).</w:t>
      </w:r>
    </w:p>
    <w:p w14:paraId="40E5DB27" w14:textId="43D8F67C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Attending general business: Roger Corriveau</w:t>
      </w:r>
    </w:p>
    <w:p w14:paraId="521B2288" w14:textId="77777777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76089132" w14:textId="77777777" w:rsidR="0005169A" w:rsidRDefault="0005169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41E31AA0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General business</w:t>
      </w:r>
    </w:p>
    <w:p w14:paraId="3771E86A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683E6247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committee discussed new weights for the evaluation of applications, and will alter the principles to reflect the following:</w:t>
      </w:r>
    </w:p>
    <w:p w14:paraId="76877CE3" w14:textId="77777777" w:rsidR="00EA527A" w:rsidRDefault="00EA527A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11744CD8" w14:textId="64E9E498" w:rsidR="00EA527A" w:rsidRDefault="00EA527A" w:rsidP="00EA527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Add w</w:t>
      </w:r>
      <w:r w:rsidR="009C31D1" w:rsidRPr="00EA527A">
        <w:rPr>
          <w:rFonts w:ascii="Garamond" w:hAnsi="Garamond" w:cs="Garamond"/>
          <w:sz w:val="40"/>
          <w:szCs w:val="40"/>
        </w:rPr>
        <w:t>eight to brand new</w:t>
      </w:r>
      <w:r>
        <w:rPr>
          <w:rFonts w:ascii="Garamond" w:hAnsi="Garamond" w:cs="Garamond"/>
          <w:sz w:val="40"/>
          <w:szCs w:val="40"/>
        </w:rPr>
        <w:t xml:space="preserve"> applications (to people who have never applied or have never been funded) to encourage a broad use of the travel money.</w:t>
      </w:r>
      <w:r w:rsidR="00CD3032">
        <w:rPr>
          <w:rFonts w:ascii="Garamond" w:hAnsi="Garamond" w:cs="Garamond"/>
          <w:sz w:val="40"/>
          <w:szCs w:val="40"/>
        </w:rPr>
        <w:t xml:space="preserve"> </w:t>
      </w:r>
      <w:r>
        <w:rPr>
          <w:rFonts w:ascii="Garamond" w:hAnsi="Garamond" w:cs="Garamond"/>
          <w:sz w:val="40"/>
          <w:szCs w:val="40"/>
        </w:rPr>
        <w:t xml:space="preserve">Add up to ½ </w:t>
      </w:r>
      <w:r w:rsidR="00CD3032">
        <w:rPr>
          <w:rFonts w:ascii="Garamond" w:hAnsi="Garamond" w:cs="Garamond"/>
          <w:sz w:val="40"/>
          <w:szCs w:val="40"/>
        </w:rPr>
        <w:t>point for this</w:t>
      </w:r>
      <w:r>
        <w:rPr>
          <w:rFonts w:ascii="Garamond" w:hAnsi="Garamond" w:cs="Garamond"/>
          <w:sz w:val="40"/>
          <w:szCs w:val="40"/>
        </w:rPr>
        <w:t>.</w:t>
      </w:r>
    </w:p>
    <w:p w14:paraId="0124A3D4" w14:textId="77777777" w:rsidR="00EA527A" w:rsidRDefault="00EA527A" w:rsidP="00EA527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Drop the consideration of in-state travel. The committee decided this was penalizing people who don’t have the option of attending a regional conference.</w:t>
      </w:r>
    </w:p>
    <w:p w14:paraId="7E7CE2B4" w14:textId="0BF832DD" w:rsidR="00AF37EE" w:rsidRDefault="00EA527A" w:rsidP="00AF37E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 w:rsidRPr="00AF37EE">
        <w:rPr>
          <w:rFonts w:ascii="Garamond" w:hAnsi="Garamond" w:cs="Garamond"/>
          <w:sz w:val="40"/>
          <w:szCs w:val="40"/>
        </w:rPr>
        <w:t>Increase the ‘high impact’ weight to a maximum of 3 points. This is to give additional weight to the unique ini</w:t>
      </w:r>
      <w:r w:rsidR="00AF37EE" w:rsidRPr="00AF37EE">
        <w:rPr>
          <w:rFonts w:ascii="Garamond" w:hAnsi="Garamond" w:cs="Garamond"/>
          <w:sz w:val="40"/>
          <w:szCs w:val="40"/>
        </w:rPr>
        <w:t>ti</w:t>
      </w:r>
      <w:r w:rsidRPr="00AF37EE">
        <w:rPr>
          <w:rFonts w:ascii="Garamond" w:hAnsi="Garamond" w:cs="Garamond"/>
          <w:sz w:val="40"/>
          <w:szCs w:val="40"/>
        </w:rPr>
        <w:t>atives</w:t>
      </w:r>
      <w:r w:rsidR="00AF37EE" w:rsidRPr="00AF37EE">
        <w:rPr>
          <w:rFonts w:ascii="Garamond" w:hAnsi="Garamond" w:cs="Garamond"/>
          <w:sz w:val="40"/>
          <w:szCs w:val="40"/>
        </w:rPr>
        <w:t xml:space="preserve"> described by each applicant. Rob M. will insert math into the committee Excel sheet to convert committee voting on high impact into a score between 0 and 3.</w:t>
      </w:r>
    </w:p>
    <w:p w14:paraId="383F5DC8" w14:textId="77777777" w:rsidR="00AF37EE" w:rsidRDefault="00AF37EE" w:rsidP="00AF37EE">
      <w:pPr>
        <w:widowControl w:val="0"/>
        <w:autoSpaceDE w:val="0"/>
        <w:autoSpaceDN w:val="0"/>
        <w:adjustRightInd w:val="0"/>
        <w:ind w:left="360"/>
        <w:rPr>
          <w:rFonts w:ascii="Garamond" w:hAnsi="Garamond" w:cs="Garamond"/>
          <w:sz w:val="40"/>
          <w:szCs w:val="40"/>
        </w:rPr>
      </w:pPr>
    </w:p>
    <w:p w14:paraId="7E7C0724" w14:textId="0AEDF8D4" w:rsidR="00AF37EE" w:rsidRDefault="00AF37EE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committee members will reference the summary of the annual East Campus plan to guide their voting on whether an application is high impact.</w:t>
      </w:r>
    </w:p>
    <w:p w14:paraId="41B72A8B" w14:textId="77777777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2AE7E83F" w14:textId="1DC572E2" w:rsidR="0005169A" w:rsidRDefault="0005169A" w:rsidP="00AF37EE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awards for this cycle are listed on the following page.</w:t>
      </w:r>
      <w:bookmarkStart w:id="0" w:name="_GoBack"/>
      <w:bookmarkEnd w:id="0"/>
    </w:p>
    <w:p w14:paraId="1F99ECAC" w14:textId="5F5AB6B7" w:rsidR="009C31D1" w:rsidRDefault="009C31D1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</w:p>
    <w:p w14:paraId="53C5FE89" w14:textId="77777777" w:rsidR="00C85F16" w:rsidRDefault="00C85F16" w:rsidP="009C31D1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  <w:sectPr w:rsidR="00C85F16" w:rsidSect="003243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CCEA7F" w14:textId="77777777" w:rsidR="00216AF3" w:rsidRDefault="00216AF3" w:rsidP="00216AF3">
      <w:pPr>
        <w:widowControl w:val="0"/>
        <w:autoSpaceDE w:val="0"/>
        <w:autoSpaceDN w:val="0"/>
        <w:adjustRightInd w:val="0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The award for cycle 1 of 2017 – 2018 were as follows:</w:t>
      </w:r>
    </w:p>
    <w:p w14:paraId="4BA73D11" w14:textId="2332DCA7" w:rsidR="00FF71A5" w:rsidRPr="009C31D1" w:rsidRDefault="00C85F16" w:rsidP="004762D0">
      <w:pPr>
        <w:widowControl w:val="0"/>
        <w:autoSpaceDE w:val="0"/>
        <w:autoSpaceDN w:val="0"/>
        <w:adjustRightInd w:val="0"/>
      </w:pPr>
      <w:r>
        <w:rPr>
          <w:rFonts w:ascii="Garamond" w:hAnsi="Garamond" w:cs="Garamond"/>
          <w:noProof/>
          <w:sz w:val="40"/>
          <w:szCs w:val="40"/>
        </w:rPr>
        <w:drawing>
          <wp:inline distT="0" distB="0" distL="0" distR="0" wp14:anchorId="42FAAB38" wp14:editId="2ADCCE12">
            <wp:extent cx="9085215" cy="2174240"/>
            <wp:effectExtent l="0" t="0" r="825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5-24 at 2.21.49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933" cy="217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1A5" w:rsidRPr="009C31D1" w:rsidSect="004762D0">
      <w:pgSz w:w="15840" w:h="12240" w:orient="landscape"/>
      <w:pgMar w:top="1440" w:right="720" w:bottom="144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B47"/>
    <w:multiLevelType w:val="hybridMultilevel"/>
    <w:tmpl w:val="593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2840"/>
    <w:multiLevelType w:val="hybridMultilevel"/>
    <w:tmpl w:val="D71E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E11D5"/>
    <w:multiLevelType w:val="hybridMultilevel"/>
    <w:tmpl w:val="B9F2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05A46"/>
    <w:multiLevelType w:val="multilevel"/>
    <w:tmpl w:val="FB3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59"/>
    <w:rsid w:val="0005169A"/>
    <w:rsid w:val="00170F59"/>
    <w:rsid w:val="00216AF3"/>
    <w:rsid w:val="002555D9"/>
    <w:rsid w:val="002B7CEB"/>
    <w:rsid w:val="00311840"/>
    <w:rsid w:val="003243A4"/>
    <w:rsid w:val="00380A02"/>
    <w:rsid w:val="004762D0"/>
    <w:rsid w:val="004F7974"/>
    <w:rsid w:val="00520790"/>
    <w:rsid w:val="005769F6"/>
    <w:rsid w:val="005A763C"/>
    <w:rsid w:val="00680F43"/>
    <w:rsid w:val="006A7EC6"/>
    <w:rsid w:val="0099312F"/>
    <w:rsid w:val="009C31D1"/>
    <w:rsid w:val="009E4908"/>
    <w:rsid w:val="009F267E"/>
    <w:rsid w:val="00AC632D"/>
    <w:rsid w:val="00AD30DF"/>
    <w:rsid w:val="00AF37EE"/>
    <w:rsid w:val="00B05EA9"/>
    <w:rsid w:val="00C66A8F"/>
    <w:rsid w:val="00C85F16"/>
    <w:rsid w:val="00CD3032"/>
    <w:rsid w:val="00E14E76"/>
    <w:rsid w:val="00E5518F"/>
    <w:rsid w:val="00EA527A"/>
    <w:rsid w:val="00F12BB3"/>
    <w:rsid w:val="00F35D01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BE7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F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2017-05-24T17:44:00Z</dcterms:created>
  <dcterms:modified xsi:type="dcterms:W3CDTF">2017-05-24T18:32:00Z</dcterms:modified>
</cp:coreProperties>
</file>