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6B" w:rsidRPr="001F046B" w:rsidRDefault="001F046B" w:rsidP="001F046B">
      <w:pPr>
        <w:ind w:firstLine="720"/>
        <w:jc w:val="center"/>
        <w:rPr>
          <w:b/>
        </w:rPr>
      </w:pPr>
      <w:r>
        <w:rPr>
          <w:b/>
        </w:rPr>
        <w:t xml:space="preserve">Levels of </w:t>
      </w:r>
      <w:r w:rsidRPr="001F046B">
        <w:rPr>
          <w:b/>
        </w:rPr>
        <w:t>Cross-cultural Awareness</w:t>
      </w:r>
    </w:p>
    <w:p w:rsidR="00030CEB" w:rsidRDefault="00AD7F76" w:rsidP="001F046B">
      <w:pPr>
        <w:ind w:firstLine="720"/>
      </w:pPr>
      <w:r>
        <w:t xml:space="preserve">In 1976 Robert Hanvey </w:t>
      </w:r>
      <w:r w:rsidR="00030CEB">
        <w:t xml:space="preserve">wrote about the things “we will need to know and understand if we are to cope with </w:t>
      </w:r>
      <w:r w:rsidR="00030CEB" w:rsidRPr="00030CEB">
        <w:t>the challenges of an increasingly interdependent world</w:t>
      </w:r>
      <w:r w:rsidR="00030CEB">
        <w:t xml:space="preserve">” (2). </w:t>
      </w:r>
      <w:r w:rsidR="00030CEB" w:rsidRPr="00AD7F76">
        <w:t>H</w:t>
      </w:r>
      <w:r w:rsidR="00030CEB">
        <w:t xml:space="preserve">e proposed </w:t>
      </w:r>
      <w:r w:rsidR="001F046B">
        <w:t xml:space="preserve">progress </w:t>
      </w:r>
      <w:r w:rsidR="006F2B8E">
        <w:t>through</w:t>
      </w:r>
      <w:r w:rsidR="001F046B">
        <w:t xml:space="preserve"> </w:t>
      </w:r>
      <w:r w:rsidR="00030CEB" w:rsidRPr="00AD7F76">
        <w:t xml:space="preserve">five dimensions: "perspective consciousness, 'state of the planet' awareness, </w:t>
      </w:r>
      <w:r w:rsidR="00030CEB" w:rsidRPr="002168F7">
        <w:rPr>
          <w:b/>
        </w:rPr>
        <w:t>cross-cultural awareness</w:t>
      </w:r>
      <w:r w:rsidR="00030CEB" w:rsidRPr="00AD7F76">
        <w:t xml:space="preserve">, knowledge of global dynamics, and awareness of human choices" </w:t>
      </w:r>
      <w:r w:rsidR="001F046B">
        <w:t>(2</w:t>
      </w:r>
      <w:r w:rsidR="00030CEB" w:rsidRPr="00AD7F76">
        <w:t>).</w:t>
      </w:r>
      <w:r w:rsidR="001F046B">
        <w:t xml:space="preserve"> </w:t>
      </w:r>
      <w:r w:rsidR="006F2B8E">
        <w:t>He defined d</w:t>
      </w:r>
      <w:r w:rsidR="001F046B">
        <w:t>imension 3</w:t>
      </w:r>
      <w:r w:rsidR="006F2B8E">
        <w:t>, c</w:t>
      </w:r>
      <w:r w:rsidR="001F046B">
        <w:t>ross-cultural awareness</w:t>
      </w:r>
      <w:r w:rsidR="006F2B8E">
        <w:t xml:space="preserve">, </w:t>
      </w:r>
      <w:r w:rsidR="001F046B">
        <w:t xml:space="preserve">as “awareness of the diversity of ideas and practices to be found in human societies around the world, of how such ideas and practices compare, and including some limited recognition of how the ideas and ways of one’s own society might be viewed from other vantage points” (10). </w:t>
      </w:r>
      <w:r w:rsidR="006F2B8E">
        <w:t>Hanvey</w:t>
      </w:r>
      <w:r w:rsidR="00267F82">
        <w:t xml:space="preserve"> propose</w:t>
      </w:r>
      <w:r w:rsidR="006F2B8E">
        <w:t>d</w:t>
      </w:r>
      <w:r w:rsidR="00267F82">
        <w:t xml:space="preserve"> </w:t>
      </w:r>
      <w:r w:rsidR="00267F82" w:rsidRPr="002168F7">
        <w:rPr>
          <w:b/>
        </w:rPr>
        <w:t>four</w:t>
      </w:r>
      <w:r w:rsidR="00267F82">
        <w:t xml:space="preserve"> discernible </w:t>
      </w:r>
      <w:r w:rsidR="00267F82" w:rsidRPr="002168F7">
        <w:rPr>
          <w:b/>
        </w:rPr>
        <w:t>levels</w:t>
      </w:r>
      <w:r w:rsidR="00267F82">
        <w:t xml:space="preserve"> </w:t>
      </w:r>
      <w:r w:rsidR="0041361A">
        <w:t xml:space="preserve">within dimension 3. </w:t>
      </w:r>
      <w:r w:rsidR="00126C6A">
        <w:t>He n</w:t>
      </w:r>
      <w:r w:rsidR="0041361A">
        <w:t>ote</w:t>
      </w:r>
      <w:r w:rsidR="00126C6A">
        <w:t>d</w:t>
      </w:r>
      <w:r w:rsidR="0041361A">
        <w:t xml:space="preserve"> that the </w:t>
      </w:r>
      <w:r w:rsidR="00126C6A">
        <w:t>lower levels</w:t>
      </w:r>
      <w:r w:rsidR="0041361A">
        <w:t>, while not the ultimate goal, are necessary steps in the process by which “the strangeness” of other ways becomes “less strange” (16). H</w:t>
      </w:r>
      <w:r w:rsidR="00267F82">
        <w:t>e illustrate</w:t>
      </w:r>
      <w:r w:rsidR="006F2B8E">
        <w:t>d</w:t>
      </w:r>
      <w:r w:rsidR="00267F82">
        <w:t xml:space="preserve"> </w:t>
      </w:r>
      <w:r w:rsidR="0041361A">
        <w:t xml:space="preserve">the four levels </w:t>
      </w:r>
      <w:r w:rsidR="00267F82">
        <w:t xml:space="preserve">in the chart below </w:t>
      </w:r>
      <w:r w:rsidR="00126C6A">
        <w:t>which is mis</w:t>
      </w:r>
      <w:bookmarkStart w:id="0" w:name="_GoBack"/>
      <w:bookmarkEnd w:id="0"/>
      <w:r w:rsidR="00126C6A">
        <w:t>sing o</w:t>
      </w:r>
      <w:r w:rsidR="0041361A">
        <w:t xml:space="preserve">ne column of information for the activity. </w:t>
      </w:r>
      <w:r w:rsidR="00B323DE">
        <w:t xml:space="preserve">A 2004 publication of his </w:t>
      </w:r>
      <w:r w:rsidR="006F2B8E">
        <w:t xml:space="preserve">full </w:t>
      </w:r>
      <w:r w:rsidR="00B323DE">
        <w:t xml:space="preserve">article funded by the NEH </w:t>
      </w:r>
      <w:r w:rsidR="00126C6A">
        <w:t>is</w:t>
      </w:r>
      <w:r w:rsidR="00B323DE">
        <w:t xml:space="preserve"> online.</w:t>
      </w:r>
    </w:p>
    <w:p w:rsidR="00881E87" w:rsidRDefault="00030CEB" w:rsidP="00030CEB">
      <w:pPr>
        <w:jc w:val="right"/>
      </w:pPr>
      <w:r>
        <w:t xml:space="preserve">Use the chart below to </w:t>
      </w:r>
      <w:r w:rsidR="001501B0" w:rsidRPr="001501B0">
        <w:t xml:space="preserve">fill in the </w:t>
      </w:r>
      <w:r>
        <w:t xml:space="preserve">kinds of internationalized experiences that </w:t>
      </w:r>
      <w:r w:rsidR="0034172C">
        <w:t xml:space="preserve">may </w:t>
      </w:r>
      <w:r>
        <w:t>cultivate each level of cross-cultural awareness</w:t>
      </w:r>
      <w:r w:rsidR="001501B0" w:rsidRPr="001501B0">
        <w:t>.</w:t>
      </w:r>
    </w:p>
    <w:tbl>
      <w:tblPr>
        <w:tblStyle w:val="LightShading-Accent1"/>
        <w:tblW w:w="5000" w:type="pct"/>
        <w:tblLook w:val="0660" w:firstRow="1" w:lastRow="1" w:firstColumn="0" w:lastColumn="0" w:noHBand="1" w:noVBand="1"/>
      </w:tblPr>
      <w:tblGrid>
        <w:gridCol w:w="1403"/>
        <w:gridCol w:w="3276"/>
        <w:gridCol w:w="6001"/>
        <w:gridCol w:w="2496"/>
      </w:tblGrid>
      <w:tr w:rsidR="001F046B" w:rsidTr="007E6985">
        <w:trPr>
          <w:cnfStyle w:val="100000000000" w:firstRow="1" w:lastRow="0" w:firstColumn="0" w:lastColumn="0" w:oddVBand="0" w:evenVBand="0" w:oddHBand="0" w:evenHBand="0" w:firstRowFirstColumn="0" w:firstRowLastColumn="0" w:lastRowFirstColumn="0" w:lastRowLastColumn="0"/>
          <w:trHeight w:val="144"/>
        </w:trPr>
        <w:tc>
          <w:tcPr>
            <w:tcW w:w="1403" w:type="dxa"/>
            <w:noWrap/>
          </w:tcPr>
          <w:p w:rsidR="00A6015A" w:rsidRPr="001F046B" w:rsidRDefault="00030CEB">
            <w:pPr>
              <w:rPr>
                <w:color w:val="auto"/>
              </w:rPr>
            </w:pPr>
            <w:r w:rsidRPr="001F046B">
              <w:rPr>
                <w:color w:val="auto"/>
              </w:rPr>
              <w:t>Levels</w:t>
            </w:r>
          </w:p>
          <w:p w:rsidR="00881E87" w:rsidRPr="001F046B" w:rsidRDefault="00881E87" w:rsidP="00A6015A">
            <w:pPr>
              <w:rPr>
                <w:color w:val="auto"/>
              </w:rPr>
            </w:pPr>
          </w:p>
        </w:tc>
        <w:tc>
          <w:tcPr>
            <w:tcW w:w="3276" w:type="dxa"/>
          </w:tcPr>
          <w:p w:rsidR="00881E87" w:rsidRPr="001F046B" w:rsidRDefault="0041361A">
            <w:pPr>
              <w:rPr>
                <w:color w:val="auto"/>
              </w:rPr>
            </w:pPr>
            <w:r>
              <w:rPr>
                <w:color w:val="auto"/>
              </w:rPr>
              <w:t>Cross-C</w:t>
            </w:r>
            <w:r w:rsidR="00030CEB" w:rsidRPr="001F046B">
              <w:rPr>
                <w:color w:val="auto"/>
              </w:rPr>
              <w:t>ultural Awareness</w:t>
            </w:r>
          </w:p>
        </w:tc>
        <w:tc>
          <w:tcPr>
            <w:tcW w:w="6001" w:type="dxa"/>
          </w:tcPr>
          <w:p w:rsidR="00A6015A" w:rsidRPr="001F046B" w:rsidRDefault="0041361A" w:rsidP="0041361A">
            <w:pPr>
              <w:rPr>
                <w:color w:val="auto"/>
              </w:rPr>
            </w:pPr>
            <w:r>
              <w:rPr>
                <w:color w:val="auto"/>
              </w:rPr>
              <w:t>Activities or E</w:t>
            </w:r>
            <w:r w:rsidR="00A6015A" w:rsidRPr="001F046B">
              <w:rPr>
                <w:color w:val="auto"/>
              </w:rPr>
              <w:t xml:space="preserve">xperiences that </w:t>
            </w:r>
            <w:r>
              <w:rPr>
                <w:color w:val="auto"/>
              </w:rPr>
              <w:t>B</w:t>
            </w:r>
            <w:r w:rsidR="006F2B8E">
              <w:rPr>
                <w:color w:val="auto"/>
              </w:rPr>
              <w:t xml:space="preserve">ring </w:t>
            </w:r>
            <w:r>
              <w:rPr>
                <w:color w:val="auto"/>
              </w:rPr>
              <w:t>About A</w:t>
            </w:r>
            <w:r w:rsidR="006F2B8E">
              <w:rPr>
                <w:color w:val="auto"/>
              </w:rPr>
              <w:t>wareness</w:t>
            </w:r>
          </w:p>
        </w:tc>
        <w:tc>
          <w:tcPr>
            <w:tcW w:w="2496" w:type="dxa"/>
          </w:tcPr>
          <w:p w:rsidR="00881E87" w:rsidRPr="001F046B" w:rsidRDefault="00881E87" w:rsidP="0041361A">
            <w:pPr>
              <w:rPr>
                <w:color w:val="auto"/>
              </w:rPr>
            </w:pPr>
            <w:r w:rsidRPr="001F046B">
              <w:rPr>
                <w:color w:val="auto"/>
              </w:rPr>
              <w:t xml:space="preserve">Interpretation </w:t>
            </w:r>
            <w:r w:rsidR="00A6015A" w:rsidRPr="001F046B">
              <w:rPr>
                <w:color w:val="auto"/>
              </w:rPr>
              <w:t>of Culture</w:t>
            </w:r>
          </w:p>
        </w:tc>
      </w:tr>
      <w:tr w:rsidR="001F046B" w:rsidTr="007E6985">
        <w:tc>
          <w:tcPr>
            <w:tcW w:w="1403" w:type="dxa"/>
            <w:noWrap/>
          </w:tcPr>
          <w:p w:rsidR="00881E87" w:rsidRPr="001F046B" w:rsidRDefault="00881E87">
            <w:pPr>
              <w:rPr>
                <w:color w:val="auto"/>
              </w:rPr>
            </w:pPr>
            <w:r w:rsidRPr="001F046B">
              <w:rPr>
                <w:color w:val="auto"/>
              </w:rPr>
              <w:t>I</w:t>
            </w:r>
          </w:p>
        </w:tc>
        <w:tc>
          <w:tcPr>
            <w:tcW w:w="3276" w:type="dxa"/>
          </w:tcPr>
          <w:p w:rsidR="00881E87" w:rsidRDefault="00881E87" w:rsidP="00A6015A">
            <w:pPr>
              <w:pStyle w:val="DecimalAligned"/>
              <w:rPr>
                <w:color w:val="auto"/>
              </w:rPr>
            </w:pPr>
            <w:r w:rsidRPr="001F046B">
              <w:rPr>
                <w:color w:val="auto"/>
              </w:rPr>
              <w:t xml:space="preserve">Awareness of </w:t>
            </w:r>
            <w:r w:rsidRPr="001F046B">
              <w:rPr>
                <w:i/>
                <w:color w:val="auto"/>
              </w:rPr>
              <w:t xml:space="preserve">superficial </w:t>
            </w:r>
            <w:r w:rsidRPr="001F046B">
              <w:rPr>
                <w:color w:val="auto"/>
              </w:rPr>
              <w:t xml:space="preserve">or very </w:t>
            </w:r>
            <w:r w:rsidRPr="001F046B">
              <w:rPr>
                <w:i/>
                <w:color w:val="auto"/>
              </w:rPr>
              <w:t>visible</w:t>
            </w:r>
            <w:r w:rsidRPr="001F046B">
              <w:rPr>
                <w:color w:val="auto"/>
              </w:rPr>
              <w:t xml:space="preserve"> cultural traits or stereotypes</w:t>
            </w:r>
          </w:p>
          <w:p w:rsidR="00267F82" w:rsidRPr="001F046B" w:rsidRDefault="00267F82" w:rsidP="00A6015A">
            <w:pPr>
              <w:pStyle w:val="DecimalAligned"/>
              <w:rPr>
                <w:color w:val="auto"/>
              </w:rPr>
            </w:pPr>
          </w:p>
        </w:tc>
        <w:tc>
          <w:tcPr>
            <w:tcW w:w="6001" w:type="dxa"/>
          </w:tcPr>
          <w:p w:rsidR="00881E87" w:rsidRPr="001F046B" w:rsidRDefault="00881E87">
            <w:pPr>
              <w:pStyle w:val="DecimalAligned"/>
              <w:rPr>
                <w:color w:val="auto"/>
              </w:rPr>
            </w:pPr>
          </w:p>
        </w:tc>
        <w:tc>
          <w:tcPr>
            <w:tcW w:w="2496" w:type="dxa"/>
          </w:tcPr>
          <w:p w:rsidR="001F046B" w:rsidRPr="001F046B" w:rsidRDefault="00881E87" w:rsidP="00030CEB">
            <w:pPr>
              <w:pStyle w:val="DecimalAligned"/>
              <w:rPr>
                <w:b/>
                <w:color w:val="auto"/>
              </w:rPr>
            </w:pPr>
            <w:r w:rsidRPr="001F046B">
              <w:rPr>
                <w:b/>
                <w:color w:val="auto"/>
              </w:rPr>
              <w:t>Unbelievable</w:t>
            </w:r>
          </w:p>
          <w:p w:rsidR="00881E87" w:rsidRPr="001F046B" w:rsidRDefault="00881E87" w:rsidP="00030CEB">
            <w:pPr>
              <w:pStyle w:val="DecimalAligned"/>
              <w:rPr>
                <w:color w:val="auto"/>
              </w:rPr>
            </w:pPr>
            <w:r w:rsidRPr="001F046B">
              <w:rPr>
                <w:color w:val="auto"/>
              </w:rPr>
              <w:t>exotic, bizarre</w:t>
            </w:r>
          </w:p>
          <w:p w:rsidR="00030CEB" w:rsidRPr="001F046B" w:rsidRDefault="00030CEB" w:rsidP="00030CEB">
            <w:pPr>
              <w:pStyle w:val="DecimalAligned"/>
              <w:rPr>
                <w:color w:val="auto"/>
              </w:rPr>
            </w:pPr>
          </w:p>
        </w:tc>
      </w:tr>
      <w:tr w:rsidR="001F046B" w:rsidTr="007E6985">
        <w:tc>
          <w:tcPr>
            <w:tcW w:w="1403" w:type="dxa"/>
            <w:noWrap/>
          </w:tcPr>
          <w:p w:rsidR="00881E87" w:rsidRPr="001F046B" w:rsidRDefault="00881E87">
            <w:pPr>
              <w:rPr>
                <w:color w:val="auto"/>
              </w:rPr>
            </w:pPr>
            <w:r w:rsidRPr="001F046B">
              <w:rPr>
                <w:color w:val="auto"/>
              </w:rPr>
              <w:t>II</w:t>
            </w:r>
          </w:p>
        </w:tc>
        <w:tc>
          <w:tcPr>
            <w:tcW w:w="3276" w:type="dxa"/>
          </w:tcPr>
          <w:p w:rsidR="00881E87" w:rsidRPr="001F046B" w:rsidRDefault="00881E87">
            <w:pPr>
              <w:pStyle w:val="DecimalAligned"/>
              <w:rPr>
                <w:color w:val="auto"/>
              </w:rPr>
            </w:pPr>
            <w:r w:rsidRPr="001F046B">
              <w:rPr>
                <w:color w:val="auto"/>
              </w:rPr>
              <w:t xml:space="preserve">Awareness of </w:t>
            </w:r>
            <w:r w:rsidRPr="001F046B">
              <w:rPr>
                <w:i/>
                <w:color w:val="auto"/>
              </w:rPr>
              <w:t>significant</w:t>
            </w:r>
            <w:r w:rsidRPr="001F046B">
              <w:rPr>
                <w:color w:val="auto"/>
              </w:rPr>
              <w:t xml:space="preserve"> and </w:t>
            </w:r>
            <w:r w:rsidRPr="001F046B">
              <w:rPr>
                <w:i/>
                <w:color w:val="auto"/>
              </w:rPr>
              <w:t xml:space="preserve">subtle </w:t>
            </w:r>
            <w:r w:rsidRPr="001F046B">
              <w:rPr>
                <w:color w:val="auto"/>
              </w:rPr>
              <w:t>cultural traits that contrast markedly with one’s own</w:t>
            </w:r>
          </w:p>
          <w:p w:rsidR="00881E87" w:rsidRPr="001F046B" w:rsidRDefault="00881E87">
            <w:pPr>
              <w:pStyle w:val="DecimalAligned"/>
              <w:rPr>
                <w:color w:val="auto"/>
              </w:rPr>
            </w:pPr>
          </w:p>
        </w:tc>
        <w:tc>
          <w:tcPr>
            <w:tcW w:w="6001" w:type="dxa"/>
          </w:tcPr>
          <w:p w:rsidR="00881E87" w:rsidRPr="001F046B" w:rsidRDefault="00881E87">
            <w:pPr>
              <w:pStyle w:val="DecimalAligned"/>
              <w:rPr>
                <w:color w:val="auto"/>
              </w:rPr>
            </w:pPr>
          </w:p>
        </w:tc>
        <w:tc>
          <w:tcPr>
            <w:tcW w:w="2496" w:type="dxa"/>
          </w:tcPr>
          <w:p w:rsidR="001F046B" w:rsidRPr="001F046B" w:rsidRDefault="00881E87">
            <w:pPr>
              <w:pStyle w:val="DecimalAligned"/>
              <w:rPr>
                <w:b/>
                <w:color w:val="auto"/>
              </w:rPr>
            </w:pPr>
            <w:r w:rsidRPr="001F046B">
              <w:rPr>
                <w:b/>
                <w:color w:val="auto"/>
              </w:rPr>
              <w:t>Unbelievable</w:t>
            </w:r>
          </w:p>
          <w:p w:rsidR="00881E87" w:rsidRPr="001F046B" w:rsidRDefault="00881E87">
            <w:pPr>
              <w:pStyle w:val="DecimalAligned"/>
              <w:rPr>
                <w:color w:val="auto"/>
              </w:rPr>
            </w:pPr>
            <w:r w:rsidRPr="001F046B">
              <w:rPr>
                <w:color w:val="auto"/>
              </w:rPr>
              <w:t>frustrating, irrational</w:t>
            </w:r>
          </w:p>
        </w:tc>
      </w:tr>
      <w:tr w:rsidR="001F046B" w:rsidTr="007E6985">
        <w:tc>
          <w:tcPr>
            <w:tcW w:w="1403" w:type="dxa"/>
            <w:noWrap/>
          </w:tcPr>
          <w:p w:rsidR="00881E87" w:rsidRPr="001F046B" w:rsidRDefault="00881E87">
            <w:pPr>
              <w:rPr>
                <w:color w:val="auto"/>
              </w:rPr>
            </w:pPr>
            <w:r w:rsidRPr="001F046B">
              <w:rPr>
                <w:color w:val="auto"/>
              </w:rPr>
              <w:t xml:space="preserve">III </w:t>
            </w:r>
          </w:p>
        </w:tc>
        <w:tc>
          <w:tcPr>
            <w:tcW w:w="3276" w:type="dxa"/>
          </w:tcPr>
          <w:p w:rsidR="00881E87" w:rsidRPr="001F046B" w:rsidRDefault="00881E87">
            <w:pPr>
              <w:pStyle w:val="DecimalAligned"/>
              <w:rPr>
                <w:color w:val="auto"/>
              </w:rPr>
            </w:pPr>
            <w:r w:rsidRPr="001F046B">
              <w:rPr>
                <w:color w:val="auto"/>
              </w:rPr>
              <w:t xml:space="preserve">Awareness of </w:t>
            </w:r>
            <w:r w:rsidRPr="001F046B">
              <w:rPr>
                <w:i/>
                <w:color w:val="auto"/>
              </w:rPr>
              <w:t>significant</w:t>
            </w:r>
            <w:r w:rsidRPr="001F046B">
              <w:rPr>
                <w:color w:val="auto"/>
              </w:rPr>
              <w:t xml:space="preserve"> and </w:t>
            </w:r>
            <w:r w:rsidRPr="001F046B">
              <w:rPr>
                <w:i/>
                <w:color w:val="auto"/>
              </w:rPr>
              <w:t>subtle</w:t>
            </w:r>
            <w:r w:rsidRPr="001F046B">
              <w:rPr>
                <w:color w:val="auto"/>
              </w:rPr>
              <w:t xml:space="preserve"> cultural traits that contrast markedly with one’s own</w:t>
            </w:r>
          </w:p>
          <w:p w:rsidR="00881E87" w:rsidRPr="001F046B" w:rsidRDefault="00881E87">
            <w:pPr>
              <w:pStyle w:val="DecimalAligned"/>
              <w:rPr>
                <w:color w:val="auto"/>
              </w:rPr>
            </w:pPr>
          </w:p>
        </w:tc>
        <w:tc>
          <w:tcPr>
            <w:tcW w:w="6001" w:type="dxa"/>
          </w:tcPr>
          <w:p w:rsidR="00881E87" w:rsidRPr="001F046B" w:rsidRDefault="00881E87">
            <w:pPr>
              <w:pStyle w:val="DecimalAligned"/>
              <w:rPr>
                <w:color w:val="auto"/>
              </w:rPr>
            </w:pPr>
          </w:p>
        </w:tc>
        <w:tc>
          <w:tcPr>
            <w:tcW w:w="2496" w:type="dxa"/>
          </w:tcPr>
          <w:p w:rsidR="001F046B" w:rsidRPr="001F046B" w:rsidRDefault="00881E87">
            <w:pPr>
              <w:pStyle w:val="DecimalAligned"/>
              <w:rPr>
                <w:b/>
                <w:color w:val="auto"/>
              </w:rPr>
            </w:pPr>
            <w:r w:rsidRPr="001F046B">
              <w:rPr>
                <w:b/>
                <w:color w:val="auto"/>
              </w:rPr>
              <w:t>Believable</w:t>
            </w:r>
          </w:p>
          <w:p w:rsidR="00881E87" w:rsidRPr="001F046B" w:rsidRDefault="001F046B">
            <w:pPr>
              <w:pStyle w:val="DecimalAligned"/>
              <w:rPr>
                <w:color w:val="auto"/>
              </w:rPr>
            </w:pPr>
            <w:r w:rsidRPr="001F046B">
              <w:rPr>
                <w:color w:val="auto"/>
              </w:rPr>
              <w:t xml:space="preserve">reasonable, explainable  </w:t>
            </w:r>
          </w:p>
        </w:tc>
      </w:tr>
      <w:tr w:rsidR="001F046B" w:rsidTr="007E6985">
        <w:tc>
          <w:tcPr>
            <w:tcW w:w="1403" w:type="dxa"/>
            <w:noWrap/>
          </w:tcPr>
          <w:p w:rsidR="00881E87" w:rsidRPr="001F046B" w:rsidRDefault="00881E87">
            <w:pPr>
              <w:rPr>
                <w:color w:val="auto"/>
              </w:rPr>
            </w:pPr>
            <w:r w:rsidRPr="001F046B">
              <w:rPr>
                <w:color w:val="auto"/>
              </w:rPr>
              <w:t>IV</w:t>
            </w:r>
          </w:p>
        </w:tc>
        <w:tc>
          <w:tcPr>
            <w:tcW w:w="3276" w:type="dxa"/>
          </w:tcPr>
          <w:p w:rsidR="00881E87" w:rsidRDefault="00881E87">
            <w:pPr>
              <w:pStyle w:val="DecimalAligned"/>
              <w:rPr>
                <w:i/>
                <w:color w:val="auto"/>
              </w:rPr>
            </w:pPr>
            <w:r w:rsidRPr="001F046B">
              <w:rPr>
                <w:color w:val="auto"/>
              </w:rPr>
              <w:t xml:space="preserve">Awareness of how another culture </w:t>
            </w:r>
            <w:r w:rsidRPr="001F046B">
              <w:rPr>
                <w:i/>
                <w:color w:val="auto"/>
              </w:rPr>
              <w:t xml:space="preserve">feels </w:t>
            </w:r>
            <w:r w:rsidRPr="001F046B">
              <w:rPr>
                <w:color w:val="auto"/>
              </w:rPr>
              <w:t xml:space="preserve">from the standpoint of </w:t>
            </w:r>
            <w:r w:rsidRPr="001F046B">
              <w:rPr>
                <w:i/>
                <w:color w:val="auto"/>
              </w:rPr>
              <w:t>an insider</w:t>
            </w:r>
          </w:p>
          <w:p w:rsidR="00267F82" w:rsidRPr="001F046B" w:rsidRDefault="00267F82">
            <w:pPr>
              <w:pStyle w:val="DecimalAligned"/>
              <w:rPr>
                <w:color w:val="auto"/>
              </w:rPr>
            </w:pPr>
          </w:p>
        </w:tc>
        <w:tc>
          <w:tcPr>
            <w:tcW w:w="6001" w:type="dxa"/>
          </w:tcPr>
          <w:p w:rsidR="00881E87" w:rsidRPr="001F046B" w:rsidRDefault="00881E87">
            <w:pPr>
              <w:pStyle w:val="DecimalAligned"/>
              <w:rPr>
                <w:color w:val="auto"/>
              </w:rPr>
            </w:pPr>
          </w:p>
        </w:tc>
        <w:tc>
          <w:tcPr>
            <w:tcW w:w="2496" w:type="dxa"/>
          </w:tcPr>
          <w:p w:rsidR="00881E87" w:rsidRPr="001F046B" w:rsidRDefault="00881E87">
            <w:pPr>
              <w:pStyle w:val="DecimalAligned"/>
              <w:rPr>
                <w:color w:val="auto"/>
              </w:rPr>
            </w:pPr>
            <w:r w:rsidRPr="001F046B">
              <w:rPr>
                <w:b/>
                <w:color w:val="auto"/>
              </w:rPr>
              <w:t xml:space="preserve">Believable </w:t>
            </w:r>
            <w:r w:rsidRPr="001F046B">
              <w:rPr>
                <w:color w:val="auto"/>
              </w:rPr>
              <w:t>because of subjective familiarity</w:t>
            </w:r>
          </w:p>
        </w:tc>
      </w:tr>
      <w:tr w:rsidR="001F046B" w:rsidTr="007E6985">
        <w:trPr>
          <w:cnfStyle w:val="010000000000" w:firstRow="0" w:lastRow="1" w:firstColumn="0" w:lastColumn="0" w:oddVBand="0" w:evenVBand="0" w:oddHBand="0" w:evenHBand="0" w:firstRowFirstColumn="0" w:firstRowLastColumn="0" w:lastRowFirstColumn="0" w:lastRowLastColumn="0"/>
        </w:trPr>
        <w:tc>
          <w:tcPr>
            <w:tcW w:w="1403" w:type="dxa"/>
            <w:noWrap/>
          </w:tcPr>
          <w:p w:rsidR="00881E87" w:rsidRDefault="00881E87">
            <w:pPr>
              <w:rPr>
                <w:color w:val="365F91" w:themeColor="accent1" w:themeShade="BF"/>
              </w:rPr>
            </w:pPr>
          </w:p>
        </w:tc>
        <w:tc>
          <w:tcPr>
            <w:tcW w:w="3276" w:type="dxa"/>
          </w:tcPr>
          <w:p w:rsidR="00881E87" w:rsidRDefault="00881E87">
            <w:pPr>
              <w:pStyle w:val="DecimalAligned"/>
              <w:rPr>
                <w:color w:val="365F91" w:themeColor="accent1" w:themeShade="BF"/>
              </w:rPr>
            </w:pPr>
          </w:p>
        </w:tc>
        <w:tc>
          <w:tcPr>
            <w:tcW w:w="6001" w:type="dxa"/>
          </w:tcPr>
          <w:p w:rsidR="00881E87" w:rsidRPr="001F046B" w:rsidRDefault="001F046B" w:rsidP="001F046B">
            <w:pPr>
              <w:widowControl w:val="0"/>
              <w:jc w:val="right"/>
              <w:rPr>
                <w:b w:val="0"/>
                <w:color w:val="365F91" w:themeColor="accent1" w:themeShade="BF"/>
              </w:rPr>
            </w:pPr>
            <w:hyperlink r:id="rId5" w:history="1">
              <w:r w:rsidRPr="001F046B">
                <w:rPr>
                  <w:rFonts w:ascii="Andalus" w:eastAsia="Times New Roman" w:hAnsi="Andalus" w:cs="Andalus"/>
                  <w:b w:val="0"/>
                  <w:color w:val="000000" w:themeColor="text1"/>
                  <w:kern w:val="28"/>
                  <w:u w:val="single"/>
                  <w14:cntxtAlts/>
                </w:rPr>
                <w:t>http://www.globaled.org/an</w:t>
              </w:r>
              <w:r w:rsidRPr="001F046B">
                <w:rPr>
                  <w:rFonts w:ascii="Andalus" w:eastAsia="Times New Roman" w:hAnsi="Andalus" w:cs="Andalus"/>
                  <w:b w:val="0"/>
                  <w:color w:val="000000" w:themeColor="text1"/>
                  <w:kern w:val="28"/>
                  <w:u w:val="single"/>
                  <w14:cntxtAlts/>
                </w:rPr>
                <w:t>_att_glob_persp_04_11_29.pdf</w:t>
              </w:r>
            </w:hyperlink>
          </w:p>
        </w:tc>
        <w:tc>
          <w:tcPr>
            <w:tcW w:w="2496" w:type="dxa"/>
          </w:tcPr>
          <w:p w:rsidR="00881E87" w:rsidRPr="001F046B" w:rsidRDefault="00881E87">
            <w:pPr>
              <w:pStyle w:val="DecimalAligned"/>
              <w:rPr>
                <w:b w:val="0"/>
                <w:color w:val="365F91" w:themeColor="accent1" w:themeShade="BF"/>
              </w:rPr>
            </w:pPr>
          </w:p>
        </w:tc>
      </w:tr>
    </w:tbl>
    <w:p w:rsidR="00AD7F76" w:rsidRDefault="00881E87" w:rsidP="007E6985">
      <w:pPr>
        <w:pStyle w:val="FootnoteText"/>
        <w:jc w:val="right"/>
      </w:pPr>
      <w:r>
        <w:rPr>
          <w:rStyle w:val="SubtleEmphasis"/>
          <w:color w:val="7F7F7F" w:themeColor="text1" w:themeTint="80"/>
        </w:rPr>
        <w:t>Source</w:t>
      </w:r>
      <w:r w:rsidRPr="00881E87">
        <w:rPr>
          <w:rStyle w:val="SubtleEmphasis"/>
          <w:color w:val="808080" w:themeColor="background1" w:themeShade="80"/>
        </w:rPr>
        <w:t>:</w:t>
      </w:r>
      <w:r w:rsidRPr="00881E87">
        <w:rPr>
          <w:color w:val="808080" w:themeColor="background1" w:themeShade="80"/>
        </w:rPr>
        <w:t xml:space="preserve"> Hanvey, Robert. “An Attainable Global Perspective.” </w:t>
      </w:r>
      <w:r w:rsidRPr="00881E87">
        <w:rPr>
          <w:color w:val="808080" w:themeColor="background1" w:themeShade="80"/>
        </w:rPr>
        <w:tab/>
        <w:t>New York: The American Forum for Global Education. 2004. Web</w:t>
      </w:r>
    </w:p>
    <w:sectPr w:rsidR="00AD7F76" w:rsidSect="00A601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B0"/>
    <w:rsid w:val="00030CEB"/>
    <w:rsid w:val="00126C6A"/>
    <w:rsid w:val="001501B0"/>
    <w:rsid w:val="001F046B"/>
    <w:rsid w:val="00200C8F"/>
    <w:rsid w:val="002168F7"/>
    <w:rsid w:val="00267F82"/>
    <w:rsid w:val="0034172C"/>
    <w:rsid w:val="0041361A"/>
    <w:rsid w:val="006F2B8E"/>
    <w:rsid w:val="007E6985"/>
    <w:rsid w:val="00881E87"/>
    <w:rsid w:val="00954460"/>
    <w:rsid w:val="00A6015A"/>
    <w:rsid w:val="00AD7F76"/>
    <w:rsid w:val="00B3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881E87"/>
    <w:pPr>
      <w:tabs>
        <w:tab w:val="decimal" w:pos="360"/>
      </w:tabs>
    </w:pPr>
    <w:rPr>
      <w:lang w:eastAsia="ja-JP"/>
    </w:rPr>
  </w:style>
  <w:style w:type="paragraph" w:styleId="FootnoteText">
    <w:name w:val="footnote text"/>
    <w:basedOn w:val="Normal"/>
    <w:link w:val="FootnoteTextChar"/>
    <w:uiPriority w:val="99"/>
    <w:unhideWhenUsed/>
    <w:rsid w:val="00881E8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881E87"/>
    <w:rPr>
      <w:rFonts w:eastAsiaTheme="minorEastAsia"/>
      <w:sz w:val="20"/>
      <w:szCs w:val="20"/>
      <w:lang w:eastAsia="ja-JP"/>
    </w:rPr>
  </w:style>
  <w:style w:type="character" w:styleId="SubtleEmphasis">
    <w:name w:val="Subtle Emphasis"/>
    <w:basedOn w:val="DefaultParagraphFont"/>
    <w:uiPriority w:val="19"/>
    <w:qFormat/>
    <w:rsid w:val="00881E87"/>
    <w:rPr>
      <w:i/>
      <w:iCs/>
      <w:color w:val="7F7F7F" w:themeColor="text1" w:themeTint="80"/>
    </w:rPr>
  </w:style>
  <w:style w:type="table" w:styleId="LightShading-Accent1">
    <w:name w:val="Light Shading Accent 1"/>
    <w:basedOn w:val="TableNormal"/>
    <w:uiPriority w:val="60"/>
    <w:rsid w:val="00881E87"/>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881E87"/>
    <w:pPr>
      <w:tabs>
        <w:tab w:val="decimal" w:pos="360"/>
      </w:tabs>
    </w:pPr>
    <w:rPr>
      <w:lang w:eastAsia="ja-JP"/>
    </w:rPr>
  </w:style>
  <w:style w:type="paragraph" w:styleId="FootnoteText">
    <w:name w:val="footnote text"/>
    <w:basedOn w:val="Normal"/>
    <w:link w:val="FootnoteTextChar"/>
    <w:uiPriority w:val="99"/>
    <w:unhideWhenUsed/>
    <w:rsid w:val="00881E8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881E87"/>
    <w:rPr>
      <w:rFonts w:eastAsiaTheme="minorEastAsia"/>
      <w:sz w:val="20"/>
      <w:szCs w:val="20"/>
      <w:lang w:eastAsia="ja-JP"/>
    </w:rPr>
  </w:style>
  <w:style w:type="character" w:styleId="SubtleEmphasis">
    <w:name w:val="Subtle Emphasis"/>
    <w:basedOn w:val="DefaultParagraphFont"/>
    <w:uiPriority w:val="19"/>
    <w:qFormat/>
    <w:rsid w:val="00881E87"/>
    <w:rPr>
      <w:i/>
      <w:iCs/>
      <w:color w:val="7F7F7F" w:themeColor="text1" w:themeTint="80"/>
    </w:rPr>
  </w:style>
  <w:style w:type="table" w:styleId="LightShading-Accent1">
    <w:name w:val="Light Shading Accent 1"/>
    <w:basedOn w:val="TableNormal"/>
    <w:uiPriority w:val="60"/>
    <w:rsid w:val="00881E87"/>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6118">
      <w:bodyDiv w:val="1"/>
      <w:marLeft w:val="0"/>
      <w:marRight w:val="0"/>
      <w:marTop w:val="0"/>
      <w:marBottom w:val="0"/>
      <w:divBdr>
        <w:top w:val="none" w:sz="0" w:space="0" w:color="auto"/>
        <w:left w:val="none" w:sz="0" w:space="0" w:color="auto"/>
        <w:bottom w:val="none" w:sz="0" w:space="0" w:color="auto"/>
        <w:right w:val="none" w:sz="0" w:space="0" w:color="auto"/>
      </w:divBdr>
    </w:div>
    <w:div w:id="15858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aled.org/an_att_glob_persp_04_11_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2013-06-06T19:49:00Z</cp:lastPrinted>
  <dcterms:created xsi:type="dcterms:W3CDTF">2013-06-06T19:52:00Z</dcterms:created>
  <dcterms:modified xsi:type="dcterms:W3CDTF">2013-06-06T19:52:00Z</dcterms:modified>
</cp:coreProperties>
</file>